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Anders Wirtschaften – Neue Wege der Transformation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Kongress der Akademie in Kooperation mit der Initiative Gemeinwohlökonomie Rhein-Neckar und dem </w:t>
      </w:r>
      <w:r>
        <w:rPr>
          <w:rStyle w:val="Character0"/>
        </w:rPr>
        <w:t xml:space="preserve">Welthaus Heidelberg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Referenten: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Prof. Dr. Helge Peukert, Uni Erfurt, Finanzwissenschaftler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Christian Felber, freier Journalist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Daniela Dahn, Buchautorin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Prof. em. Dr. Bernd Fittkau, Uni Göttingen, Psychologe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Dr. Dag Schulze, Klima-Bündnis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Dr. Gerhard Schick, MdB, finanzpol. Sprecher der Grünen Bundestagsfraktion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Einladung, Programm und Anmeldeformular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Übernachtungsmöglichkeiten in Heidelberg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Hinweis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Wir haben einige Hotelzimmer in Heidelberg zu einem Vorzugspreis reserviert. Diese Reservierung ist </w:t>
      </w:r>
      <w:r>
        <w:rPr>
          <w:rStyle w:val="Character0"/>
        </w:rPr>
        <w:t xml:space="preserve">aber nur bis Anfang Mai möglich. Danach werden die Zimmer teurer. Es empfiehlt sich also, sich </w:t>
      </w:r>
      <w:r>
        <w:rPr>
          <w:rStyle w:val="Character0"/>
        </w:rPr>
        <w:t xml:space="preserve">frühzeitig anzumelden.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Veranstaltungsort: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Stadtbücherei Heidelberg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